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56.3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лиц III возраста, находящихся в трудной жизненной ситуации</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лиц, находящихся в трудной жизненной ситуации</w:t>
            </w:r>
          </w:p>
          <w:p>
            <w:pPr>
              <w:jc w:val="center"/>
              <w:spacing w:after="0" w:line="240" w:lineRule="auto"/>
              <w:rPr>
                <w:sz w:val="22"/>
                <w:szCs w:val="22"/>
              </w:rPr>
            </w:pPr>
            <w:r>
              <w:rPr>
                <w:rFonts w:ascii="Times New Roman" w:hAnsi="Times New Roman" w:cs="Times New Roman"/>
                <w:color w:val="#000000"/>
                <w:sz w:val="22"/>
                <w:szCs w:val="22"/>
              </w:rPr>
              <w:t> Психология сопровождения семьи, воспитывающей ребенка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8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2024-2025_ФГОС3++2024_Бак-ОЗФО-Психология(ПСОиСФ)(24)_plx_Организация добровольческой (волонтерской) деятельности и взаимодействие с социально ориентированными НКО</dc:title>
  <dc:creator>FastReport.NET</dc:creator>
</cp:coreProperties>
</file>